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E" w:rsidRPr="00385C9F" w:rsidRDefault="002D3A2D" w:rsidP="004564D3">
      <w:pPr>
        <w:spacing w:before="120"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385C9F">
        <w:rPr>
          <w:rFonts w:ascii="Arial" w:hAnsi="Arial" w:cs="Arial"/>
          <w:b/>
          <w:bCs/>
          <w:sz w:val="29"/>
          <w:szCs w:val="29"/>
        </w:rPr>
        <w:t xml:space="preserve">Con 104 millones de euros, </w:t>
      </w:r>
      <w:r w:rsidR="00E2761E" w:rsidRPr="00385C9F">
        <w:rPr>
          <w:rFonts w:ascii="Arial" w:hAnsi="Arial" w:cs="Arial"/>
          <w:b/>
          <w:bCs/>
          <w:sz w:val="29"/>
          <w:szCs w:val="29"/>
        </w:rPr>
        <w:t>Agros</w:t>
      </w:r>
      <w:r w:rsidRPr="00385C9F">
        <w:rPr>
          <w:rFonts w:ascii="Arial" w:hAnsi="Arial" w:cs="Arial"/>
          <w:b/>
          <w:bCs/>
          <w:sz w:val="29"/>
          <w:szCs w:val="29"/>
        </w:rPr>
        <w:t xml:space="preserve">eguro inicia los pagos </w:t>
      </w:r>
      <w:r w:rsidR="00E2761E" w:rsidRPr="00385C9F">
        <w:rPr>
          <w:rFonts w:ascii="Arial" w:hAnsi="Arial" w:cs="Arial"/>
          <w:b/>
          <w:bCs/>
          <w:sz w:val="29"/>
          <w:szCs w:val="29"/>
        </w:rPr>
        <w:t xml:space="preserve">de las </w:t>
      </w:r>
      <w:r w:rsidR="005229E7" w:rsidRPr="00385C9F">
        <w:rPr>
          <w:rFonts w:ascii="Arial" w:hAnsi="Arial" w:cs="Arial"/>
          <w:b/>
          <w:bCs/>
          <w:sz w:val="29"/>
          <w:szCs w:val="29"/>
        </w:rPr>
        <w:t>i</w:t>
      </w:r>
      <w:r w:rsidR="00E2761E" w:rsidRPr="00385C9F">
        <w:rPr>
          <w:rFonts w:ascii="Arial" w:hAnsi="Arial" w:cs="Arial"/>
          <w:b/>
          <w:bCs/>
          <w:sz w:val="29"/>
          <w:szCs w:val="29"/>
        </w:rPr>
        <w:t>ndemnizaciones por los siniestros en cereal</w:t>
      </w:r>
      <w:r w:rsidR="00163044" w:rsidRPr="00385C9F">
        <w:rPr>
          <w:rFonts w:ascii="Arial" w:hAnsi="Arial" w:cs="Arial"/>
          <w:b/>
          <w:bCs/>
          <w:sz w:val="29"/>
          <w:szCs w:val="29"/>
        </w:rPr>
        <w:t>es</w:t>
      </w:r>
      <w:r w:rsidR="00E2761E" w:rsidRPr="00385C9F">
        <w:rPr>
          <w:rFonts w:ascii="Arial" w:hAnsi="Arial" w:cs="Arial"/>
          <w:b/>
          <w:bCs/>
          <w:sz w:val="29"/>
          <w:szCs w:val="29"/>
        </w:rPr>
        <w:t xml:space="preserve"> y leguminosas</w:t>
      </w:r>
    </w:p>
    <w:p w:rsidR="00E2761E" w:rsidRPr="00385C9F" w:rsidRDefault="00E2761E" w:rsidP="004564D3">
      <w:pPr>
        <w:pStyle w:val="Prrafodelista"/>
        <w:numPr>
          <w:ilvl w:val="0"/>
          <w:numId w:val="5"/>
        </w:numPr>
        <w:spacing w:before="360" w:after="0" w:line="240" w:lineRule="auto"/>
        <w:ind w:left="0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385C9F">
        <w:rPr>
          <w:rFonts w:ascii="Arial" w:hAnsi="Arial" w:cs="Arial"/>
          <w:b/>
          <w:bCs/>
          <w:sz w:val="23"/>
          <w:szCs w:val="23"/>
        </w:rPr>
        <w:t>Esta cantidad inicial representa más de la mitad del total de indemnizaciones previstas para est</w:t>
      </w:r>
      <w:r w:rsidR="00163044" w:rsidRPr="00385C9F">
        <w:rPr>
          <w:rFonts w:ascii="Arial" w:hAnsi="Arial" w:cs="Arial"/>
          <w:b/>
          <w:bCs/>
          <w:sz w:val="23"/>
          <w:szCs w:val="23"/>
        </w:rPr>
        <w:t>os</w:t>
      </w:r>
      <w:r w:rsidRPr="00385C9F">
        <w:rPr>
          <w:rFonts w:ascii="Arial" w:hAnsi="Arial" w:cs="Arial"/>
          <w:b/>
          <w:bCs/>
          <w:sz w:val="23"/>
          <w:szCs w:val="23"/>
        </w:rPr>
        <w:t xml:space="preserve"> cultivo</w:t>
      </w:r>
      <w:r w:rsidR="00163044" w:rsidRPr="00385C9F">
        <w:rPr>
          <w:rFonts w:ascii="Arial" w:hAnsi="Arial" w:cs="Arial"/>
          <w:b/>
          <w:bCs/>
          <w:sz w:val="23"/>
          <w:szCs w:val="23"/>
        </w:rPr>
        <w:t>s</w:t>
      </w:r>
      <w:r w:rsidR="005229E7" w:rsidRPr="00385C9F">
        <w:rPr>
          <w:rFonts w:ascii="Arial" w:hAnsi="Arial" w:cs="Arial"/>
          <w:b/>
          <w:bCs/>
          <w:sz w:val="23"/>
          <w:szCs w:val="23"/>
        </w:rPr>
        <w:t xml:space="preserve">, que se elevan a 201,5 millones de </w:t>
      </w:r>
      <w:r w:rsidRPr="00385C9F">
        <w:rPr>
          <w:rFonts w:ascii="Arial" w:hAnsi="Arial" w:cs="Arial"/>
          <w:b/>
          <w:bCs/>
          <w:sz w:val="23"/>
          <w:szCs w:val="23"/>
        </w:rPr>
        <w:t>€</w:t>
      </w:r>
    </w:p>
    <w:p w:rsidR="00E2761E" w:rsidRPr="00385C9F" w:rsidRDefault="00E2761E" w:rsidP="004564D3">
      <w:pPr>
        <w:pStyle w:val="Prrafodelista"/>
        <w:numPr>
          <w:ilvl w:val="0"/>
          <w:numId w:val="5"/>
        </w:numPr>
        <w:spacing w:before="180" w:after="0" w:line="240" w:lineRule="auto"/>
        <w:ind w:left="0"/>
        <w:contextualSpacing w:val="0"/>
        <w:jc w:val="both"/>
        <w:rPr>
          <w:rFonts w:ascii="Arial" w:hAnsi="Arial" w:cs="Arial"/>
          <w:sz w:val="23"/>
          <w:szCs w:val="23"/>
        </w:rPr>
      </w:pPr>
      <w:r w:rsidRPr="00385C9F">
        <w:rPr>
          <w:rFonts w:ascii="Arial" w:hAnsi="Arial" w:cs="Arial"/>
          <w:b/>
          <w:bCs/>
          <w:sz w:val="23"/>
          <w:szCs w:val="23"/>
        </w:rPr>
        <w:t xml:space="preserve">Los agricultores de Castilla y León, la región más afectada, recibirán en este primer pago </w:t>
      </w:r>
      <w:r w:rsidR="00CD4253" w:rsidRPr="00385C9F">
        <w:rPr>
          <w:rFonts w:ascii="Arial" w:hAnsi="Arial" w:cs="Arial"/>
          <w:b/>
          <w:bCs/>
          <w:sz w:val="23"/>
          <w:szCs w:val="23"/>
        </w:rPr>
        <w:t>66</w:t>
      </w:r>
      <w:r w:rsidRPr="00385C9F">
        <w:rPr>
          <w:rFonts w:ascii="Arial" w:hAnsi="Arial" w:cs="Arial"/>
          <w:b/>
          <w:bCs/>
          <w:sz w:val="23"/>
          <w:szCs w:val="23"/>
        </w:rPr>
        <w:t>,</w:t>
      </w:r>
      <w:r w:rsidR="00874F10" w:rsidRPr="00385C9F">
        <w:rPr>
          <w:rFonts w:ascii="Arial" w:hAnsi="Arial" w:cs="Arial"/>
          <w:b/>
          <w:bCs/>
          <w:sz w:val="23"/>
          <w:szCs w:val="23"/>
        </w:rPr>
        <w:t>8</w:t>
      </w:r>
      <w:r w:rsidR="005229E7" w:rsidRPr="00385C9F">
        <w:rPr>
          <w:rFonts w:ascii="Arial" w:hAnsi="Arial" w:cs="Arial"/>
          <w:b/>
          <w:bCs/>
          <w:sz w:val="23"/>
          <w:szCs w:val="23"/>
        </w:rPr>
        <w:t xml:space="preserve"> millones de </w:t>
      </w:r>
      <w:r w:rsidRPr="00385C9F">
        <w:rPr>
          <w:rFonts w:ascii="Arial" w:hAnsi="Arial" w:cs="Arial"/>
          <w:b/>
          <w:bCs/>
          <w:sz w:val="23"/>
          <w:szCs w:val="23"/>
        </w:rPr>
        <w:t>€</w:t>
      </w:r>
    </w:p>
    <w:p w:rsidR="00E2761E" w:rsidRPr="00385C9F" w:rsidRDefault="00E2761E" w:rsidP="004564D3">
      <w:pPr>
        <w:pStyle w:val="Prrafodelista"/>
        <w:numPr>
          <w:ilvl w:val="0"/>
          <w:numId w:val="5"/>
        </w:numPr>
        <w:spacing w:before="180" w:after="0" w:line="240" w:lineRule="auto"/>
        <w:ind w:left="0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385C9F">
        <w:rPr>
          <w:rFonts w:ascii="Arial" w:hAnsi="Arial" w:cs="Arial"/>
          <w:b/>
          <w:bCs/>
          <w:sz w:val="23"/>
          <w:szCs w:val="23"/>
        </w:rPr>
        <w:t xml:space="preserve">La liquidación de las indemnizaciones finalizará en agosto, conforme concluyan la recolección y las tasaciones </w:t>
      </w:r>
    </w:p>
    <w:p w:rsidR="00E2761E" w:rsidRPr="004564D3" w:rsidRDefault="00385C9F" w:rsidP="004564D3">
      <w:pPr>
        <w:pStyle w:val="Prrafodelista"/>
        <w:spacing w:before="36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85C9F">
        <w:rPr>
          <w:rFonts w:ascii="Arial" w:hAnsi="Arial" w:cs="Arial"/>
          <w:b/>
          <w:bCs/>
          <w:sz w:val="24"/>
          <w:szCs w:val="24"/>
        </w:rPr>
        <w:t>Madrid, 20 de julio de 2017.</w:t>
      </w:r>
      <w:r w:rsidR="00E2761E" w:rsidRPr="00385C9F">
        <w:rPr>
          <w:rFonts w:ascii="Arial" w:hAnsi="Arial" w:cs="Arial"/>
          <w:b/>
          <w:bCs/>
          <w:sz w:val="23"/>
          <w:szCs w:val="23"/>
        </w:rPr>
        <w:t xml:space="preserve"> </w:t>
      </w:r>
      <w:r w:rsidRPr="004564D3">
        <w:rPr>
          <w:rFonts w:ascii="Arial" w:hAnsi="Arial" w:cs="Arial"/>
          <w:sz w:val="20"/>
          <w:szCs w:val="20"/>
        </w:rPr>
        <w:t>AGROSEGURO</w:t>
      </w:r>
      <w:r w:rsidR="00E2761E" w:rsidRPr="004564D3">
        <w:rPr>
          <w:rFonts w:ascii="Arial" w:hAnsi="Arial" w:cs="Arial"/>
          <w:sz w:val="20"/>
          <w:szCs w:val="20"/>
        </w:rPr>
        <w:t xml:space="preserve"> comienza hoy el pago de las indemnizaciones por los siniestros en cereales de invierno y leguminosas. En los próximos días, los agricultores de las comunidades afectadas recibirán un total de 10</w:t>
      </w:r>
      <w:r w:rsidR="00874F10" w:rsidRPr="004564D3">
        <w:rPr>
          <w:rFonts w:ascii="Arial" w:hAnsi="Arial" w:cs="Arial"/>
          <w:sz w:val="20"/>
          <w:szCs w:val="20"/>
        </w:rPr>
        <w:t>3</w:t>
      </w:r>
      <w:r w:rsidR="00E2761E" w:rsidRPr="004564D3">
        <w:rPr>
          <w:rFonts w:ascii="Arial" w:hAnsi="Arial" w:cs="Arial"/>
          <w:sz w:val="20"/>
          <w:szCs w:val="20"/>
        </w:rPr>
        <w:t>,</w:t>
      </w:r>
      <w:r w:rsidR="00874F10" w:rsidRPr="004564D3">
        <w:rPr>
          <w:rFonts w:ascii="Arial" w:hAnsi="Arial" w:cs="Arial"/>
          <w:sz w:val="20"/>
          <w:szCs w:val="20"/>
        </w:rPr>
        <w:t>97</w:t>
      </w:r>
      <w:r w:rsidR="00E2761E" w:rsidRPr="004564D3">
        <w:rPr>
          <w:rFonts w:ascii="Arial" w:hAnsi="Arial" w:cs="Arial"/>
          <w:sz w:val="20"/>
          <w:szCs w:val="20"/>
        </w:rPr>
        <w:t xml:space="preserve"> millones de euros</w:t>
      </w:r>
      <w:r w:rsidR="00406072" w:rsidRPr="004564D3">
        <w:rPr>
          <w:rFonts w:ascii="Arial" w:hAnsi="Arial" w:cs="Arial"/>
          <w:sz w:val="20"/>
          <w:szCs w:val="20"/>
        </w:rPr>
        <w:t>,</w:t>
      </w:r>
      <w:r w:rsidR="002D3A2D" w:rsidRPr="004564D3">
        <w:rPr>
          <w:rFonts w:ascii="Arial" w:hAnsi="Arial" w:cs="Arial"/>
          <w:sz w:val="20"/>
          <w:szCs w:val="20"/>
        </w:rPr>
        <w:t xml:space="preserve"> </w:t>
      </w:r>
      <w:r w:rsidR="00E2761E" w:rsidRPr="004564D3">
        <w:rPr>
          <w:rFonts w:ascii="Arial" w:hAnsi="Arial" w:cs="Arial"/>
          <w:sz w:val="20"/>
          <w:szCs w:val="20"/>
        </w:rPr>
        <w:t xml:space="preserve">que representa más del 50% del total de las indemnizaciones previstas para esta campaña. </w:t>
      </w:r>
      <w:r w:rsidRPr="004564D3">
        <w:rPr>
          <w:rFonts w:ascii="Arial" w:hAnsi="Arial" w:cs="Arial"/>
          <w:sz w:val="20"/>
          <w:szCs w:val="20"/>
        </w:rPr>
        <w:t xml:space="preserve">AGROSEGURO </w:t>
      </w:r>
      <w:r w:rsidR="00E2761E" w:rsidRPr="004564D3">
        <w:rPr>
          <w:rFonts w:ascii="Arial" w:hAnsi="Arial" w:cs="Arial"/>
          <w:sz w:val="20"/>
          <w:szCs w:val="20"/>
        </w:rPr>
        <w:t>ha estimado que el total de indemnizacione</w:t>
      </w:r>
      <w:r w:rsidR="00435E5E" w:rsidRPr="004564D3">
        <w:rPr>
          <w:rFonts w:ascii="Arial" w:hAnsi="Arial" w:cs="Arial"/>
          <w:sz w:val="20"/>
          <w:szCs w:val="20"/>
        </w:rPr>
        <w:t xml:space="preserve">s de estos </w:t>
      </w:r>
      <w:r w:rsidR="00E2761E" w:rsidRPr="004564D3">
        <w:rPr>
          <w:rFonts w:ascii="Arial" w:hAnsi="Arial" w:cs="Arial"/>
          <w:sz w:val="20"/>
          <w:szCs w:val="20"/>
        </w:rPr>
        <w:t>cultivo</w:t>
      </w:r>
      <w:r w:rsidR="00435E5E" w:rsidRPr="004564D3">
        <w:rPr>
          <w:rFonts w:ascii="Arial" w:hAnsi="Arial" w:cs="Arial"/>
          <w:sz w:val="20"/>
          <w:szCs w:val="20"/>
        </w:rPr>
        <w:t>s</w:t>
      </w:r>
      <w:r w:rsidR="00E2761E" w:rsidRPr="004564D3">
        <w:rPr>
          <w:rFonts w:ascii="Arial" w:hAnsi="Arial" w:cs="Arial"/>
          <w:sz w:val="20"/>
          <w:szCs w:val="20"/>
        </w:rPr>
        <w:t xml:space="preserve"> alcanzará los 201,5 millones, una cifra que supera la cantidad anual pagada en esta línea de seguro en toda la historia del seguro agrario. </w:t>
      </w:r>
    </w:p>
    <w:p w:rsidR="00E2761E" w:rsidRPr="004564D3" w:rsidRDefault="00E2761E" w:rsidP="004564D3">
      <w:pPr>
        <w:pStyle w:val="Prrafodelista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 xml:space="preserve">Los asegurados de Castilla y León recibirán </w:t>
      </w:r>
      <w:r w:rsidR="002C4C45" w:rsidRPr="004564D3">
        <w:rPr>
          <w:rFonts w:ascii="Arial" w:hAnsi="Arial" w:cs="Arial"/>
          <w:sz w:val="20"/>
          <w:szCs w:val="20"/>
        </w:rPr>
        <w:t>l</w:t>
      </w:r>
      <w:r w:rsidRPr="004564D3">
        <w:rPr>
          <w:rFonts w:ascii="Arial" w:hAnsi="Arial" w:cs="Arial"/>
          <w:sz w:val="20"/>
          <w:szCs w:val="20"/>
        </w:rPr>
        <w:t xml:space="preserve">a mayor indemnización en este primer pago: </w:t>
      </w:r>
      <w:r w:rsidR="002C4C45" w:rsidRPr="004564D3">
        <w:rPr>
          <w:rFonts w:ascii="Arial" w:hAnsi="Arial" w:cs="Arial"/>
          <w:sz w:val="20"/>
          <w:szCs w:val="20"/>
        </w:rPr>
        <w:t>66</w:t>
      </w:r>
      <w:r w:rsidRPr="004564D3">
        <w:rPr>
          <w:rFonts w:ascii="Arial" w:hAnsi="Arial" w:cs="Arial"/>
          <w:sz w:val="20"/>
          <w:szCs w:val="20"/>
        </w:rPr>
        <w:t>,</w:t>
      </w:r>
      <w:r w:rsidR="00874F10" w:rsidRPr="004564D3">
        <w:rPr>
          <w:rFonts w:ascii="Arial" w:hAnsi="Arial" w:cs="Arial"/>
          <w:sz w:val="20"/>
          <w:szCs w:val="20"/>
        </w:rPr>
        <w:t>8</w:t>
      </w:r>
      <w:r w:rsidRPr="004564D3">
        <w:rPr>
          <w:rFonts w:ascii="Arial" w:hAnsi="Arial" w:cs="Arial"/>
          <w:sz w:val="20"/>
          <w:szCs w:val="20"/>
        </w:rPr>
        <w:t xml:space="preserve"> millones de euros</w:t>
      </w:r>
      <w:r w:rsidR="00406072" w:rsidRPr="004564D3">
        <w:rPr>
          <w:rFonts w:ascii="Arial" w:hAnsi="Arial" w:cs="Arial"/>
          <w:sz w:val="20"/>
          <w:szCs w:val="20"/>
        </w:rPr>
        <w:t>;</w:t>
      </w:r>
      <w:r w:rsidRPr="004564D3">
        <w:rPr>
          <w:rFonts w:ascii="Arial" w:hAnsi="Arial" w:cs="Arial"/>
          <w:sz w:val="20"/>
          <w:szCs w:val="20"/>
        </w:rPr>
        <w:t xml:space="preserve"> Castilla-La Mancha recibirán 18,</w:t>
      </w:r>
      <w:r w:rsidR="002C4C45" w:rsidRPr="004564D3">
        <w:rPr>
          <w:rFonts w:ascii="Arial" w:hAnsi="Arial" w:cs="Arial"/>
          <w:sz w:val="20"/>
          <w:szCs w:val="20"/>
        </w:rPr>
        <w:t>8</w:t>
      </w:r>
      <w:r w:rsidRPr="004564D3">
        <w:rPr>
          <w:rFonts w:ascii="Arial" w:hAnsi="Arial" w:cs="Arial"/>
          <w:sz w:val="20"/>
          <w:szCs w:val="20"/>
        </w:rPr>
        <w:t xml:space="preserve"> millones de euros</w:t>
      </w:r>
      <w:r w:rsidR="00406072" w:rsidRPr="004564D3">
        <w:rPr>
          <w:rFonts w:ascii="Arial" w:hAnsi="Arial" w:cs="Arial"/>
          <w:sz w:val="20"/>
          <w:szCs w:val="20"/>
        </w:rPr>
        <w:t>,</w:t>
      </w:r>
      <w:r w:rsidRPr="004564D3">
        <w:rPr>
          <w:rFonts w:ascii="Arial" w:hAnsi="Arial" w:cs="Arial"/>
          <w:sz w:val="20"/>
          <w:szCs w:val="20"/>
        </w:rPr>
        <w:t xml:space="preserve"> Aragón </w:t>
      </w:r>
      <w:r w:rsidR="002C4C45" w:rsidRPr="004564D3">
        <w:rPr>
          <w:rFonts w:ascii="Arial" w:hAnsi="Arial" w:cs="Arial"/>
          <w:sz w:val="20"/>
          <w:szCs w:val="20"/>
        </w:rPr>
        <w:t>7</w:t>
      </w:r>
      <w:r w:rsidRPr="004564D3">
        <w:rPr>
          <w:rFonts w:ascii="Arial" w:hAnsi="Arial" w:cs="Arial"/>
          <w:sz w:val="20"/>
          <w:szCs w:val="20"/>
        </w:rPr>
        <w:t>,7 millones de euros</w:t>
      </w:r>
      <w:r w:rsidR="00CD4253" w:rsidRPr="004564D3">
        <w:rPr>
          <w:rFonts w:ascii="Arial" w:hAnsi="Arial" w:cs="Arial"/>
          <w:sz w:val="20"/>
          <w:szCs w:val="20"/>
        </w:rPr>
        <w:t xml:space="preserve"> y el resto de comunidades autónomas 10,6 millones de euros.</w:t>
      </w:r>
    </w:p>
    <w:p w:rsidR="005229E7" w:rsidRPr="004564D3" w:rsidRDefault="002C4C45" w:rsidP="004564D3">
      <w:pPr>
        <w:pStyle w:val="Prrafodelista"/>
        <w:spacing w:before="24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4564D3">
        <w:rPr>
          <w:rFonts w:ascii="Arial" w:hAnsi="Arial" w:cs="Arial"/>
          <w:b/>
          <w:sz w:val="20"/>
          <w:szCs w:val="20"/>
        </w:rPr>
        <w:t>INDEMNIZACIONES SINIESTROS CEREALES Y LEGUMINOSAS</w:t>
      </w:r>
    </w:p>
    <w:p w:rsidR="002C4C45" w:rsidRPr="004564D3" w:rsidRDefault="002C4C45" w:rsidP="004564D3">
      <w:pPr>
        <w:pStyle w:val="Prrafodelista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4564D3">
        <w:rPr>
          <w:rFonts w:ascii="Arial" w:hAnsi="Arial" w:cs="Arial"/>
          <w:b/>
          <w:sz w:val="20"/>
          <w:szCs w:val="20"/>
        </w:rPr>
        <w:t>POR COMUNIDAD AUTÓNOMA</w:t>
      </w:r>
      <w:r w:rsidR="005229E7" w:rsidRPr="004564D3">
        <w:rPr>
          <w:rFonts w:ascii="Arial" w:hAnsi="Arial" w:cs="Arial"/>
          <w:b/>
          <w:sz w:val="20"/>
          <w:szCs w:val="20"/>
        </w:rPr>
        <w:t xml:space="preserve"> (</w:t>
      </w:r>
      <w:r w:rsidR="00406072" w:rsidRPr="004564D3">
        <w:rPr>
          <w:rFonts w:ascii="Arial" w:hAnsi="Arial" w:cs="Arial"/>
          <w:b/>
          <w:sz w:val="20"/>
          <w:szCs w:val="20"/>
        </w:rPr>
        <w:t xml:space="preserve">EN </w:t>
      </w:r>
      <w:r w:rsidR="005229E7" w:rsidRPr="004564D3">
        <w:rPr>
          <w:rFonts w:ascii="Arial" w:hAnsi="Arial" w:cs="Arial"/>
          <w:b/>
          <w:sz w:val="20"/>
          <w:szCs w:val="20"/>
        </w:rPr>
        <w:t>MILL</w:t>
      </w:r>
      <w:r w:rsidR="00406072" w:rsidRPr="004564D3">
        <w:rPr>
          <w:rFonts w:ascii="Arial" w:hAnsi="Arial" w:cs="Arial"/>
          <w:b/>
          <w:sz w:val="20"/>
          <w:szCs w:val="20"/>
        </w:rPr>
        <w:t>ONES</w:t>
      </w:r>
      <w:r w:rsidR="005229E7" w:rsidRPr="004564D3">
        <w:rPr>
          <w:rFonts w:ascii="Arial" w:hAnsi="Arial" w:cs="Arial"/>
          <w:b/>
          <w:sz w:val="20"/>
          <w:szCs w:val="20"/>
        </w:rPr>
        <w:t xml:space="preserve"> DE EUROS)</w:t>
      </w: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984"/>
        <w:gridCol w:w="2056"/>
        <w:gridCol w:w="2209"/>
      </w:tblGrid>
      <w:tr w:rsidR="002C4C45" w:rsidRPr="004564D3" w:rsidTr="007A73F8">
        <w:trPr>
          <w:trHeight w:val="457"/>
          <w:jc w:val="center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5229E7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COMUNIDAD </w:t>
            </w:r>
            <w:r w:rsidR="002C4C45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AUTÓNOMA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INDEMNIZACIONES      </w:t>
            </w:r>
            <w:r w:rsidR="005229E7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PAGO EN </w:t>
            </w: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229E7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5229E7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INDEMNIZACIONES </w:t>
            </w:r>
            <w:r w:rsidR="005229E7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TOTALES </w:t>
            </w: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PREVISTAS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% PRIMER PAGO SOBRE TOTAL PREVISTO</w:t>
            </w:r>
          </w:p>
        </w:tc>
      </w:tr>
      <w:tr w:rsidR="002C4C45" w:rsidRPr="004564D3" w:rsidTr="007A73F8">
        <w:trPr>
          <w:trHeight w:val="311"/>
          <w:jc w:val="center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CASTILLA Y LEÓN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66,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81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4564D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4564D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57</w:t>
            </w:r>
            <w:r w:rsidR="007A73F8" w:rsidRPr="004564D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C4C45" w:rsidRPr="004564D3" w:rsidTr="007A73F8">
        <w:trPr>
          <w:trHeight w:val="245"/>
          <w:jc w:val="center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5229E7" w:rsidP="004564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CASTILLA-</w:t>
            </w:r>
            <w:r w:rsidR="002C4C45" w:rsidRPr="004564D3">
              <w:rPr>
                <w:rFonts w:ascii="Arial" w:hAnsi="Arial" w:cs="Arial"/>
                <w:bCs/>
                <w:sz w:val="20"/>
                <w:szCs w:val="20"/>
              </w:rPr>
              <w:t>LA MANCHA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18,83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29,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64,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 w:rsidR="007A73F8" w:rsidRPr="004564D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C4C45" w:rsidRPr="004564D3" w:rsidTr="007A73F8">
        <w:trPr>
          <w:trHeight w:val="250"/>
          <w:jc w:val="center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ARAGÓN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7,7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12,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564D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84</w:t>
            </w:r>
            <w:r w:rsidR="007A73F8" w:rsidRPr="004564D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C4C45" w:rsidRPr="004564D3" w:rsidTr="007A73F8">
        <w:trPr>
          <w:trHeight w:val="254"/>
          <w:jc w:val="center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RESTO COMUNIDADES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10,6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564D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74F10" w:rsidRPr="004564D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874F10" w:rsidP="004564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Cs/>
                <w:sz w:val="20"/>
                <w:szCs w:val="20"/>
              </w:rPr>
              <w:t>78</w:t>
            </w:r>
            <w:r w:rsidR="002C4C45" w:rsidRPr="004564D3">
              <w:rPr>
                <w:rFonts w:ascii="Arial" w:hAnsi="Arial" w:cs="Arial"/>
                <w:bCs/>
                <w:sz w:val="20"/>
                <w:szCs w:val="20"/>
              </w:rPr>
              <w:t>,5</w:t>
            </w:r>
            <w:r w:rsidRPr="004564D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A73F8" w:rsidRPr="004564D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C4C45" w:rsidRPr="004564D3" w:rsidTr="007A73F8">
        <w:trPr>
          <w:trHeight w:val="244"/>
          <w:jc w:val="center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74F10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4F10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201,</w:t>
            </w:r>
            <w:r w:rsidR="00874F10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C4C45" w:rsidRPr="004564D3" w:rsidRDefault="002C4C45" w:rsidP="00456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51,6</w:t>
            </w:r>
            <w:r w:rsidR="00874F10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A73F8" w:rsidRPr="004564D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E2761E" w:rsidRPr="004564D3" w:rsidRDefault="00E2761E" w:rsidP="004564D3">
      <w:pPr>
        <w:pStyle w:val="Prrafodelista"/>
        <w:spacing w:before="360" w:after="0" w:line="240" w:lineRule="auto"/>
        <w:ind w:left="0"/>
        <w:contextualSpacing w:val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4564D3">
        <w:rPr>
          <w:rFonts w:ascii="Arial" w:hAnsi="Arial" w:cs="Arial"/>
          <w:b/>
          <w:bCs/>
          <w:sz w:val="20"/>
          <w:szCs w:val="20"/>
        </w:rPr>
        <w:t>Elevado ritmo de tasación</w:t>
      </w:r>
      <w:r w:rsidR="00163044" w:rsidRPr="004564D3">
        <w:rPr>
          <w:rFonts w:ascii="Arial" w:hAnsi="Arial" w:cs="Arial"/>
          <w:b/>
          <w:bCs/>
          <w:sz w:val="20"/>
          <w:szCs w:val="20"/>
        </w:rPr>
        <w:t xml:space="preserve"> y </w:t>
      </w:r>
      <w:r w:rsidRPr="004564D3">
        <w:rPr>
          <w:rFonts w:ascii="Arial" w:hAnsi="Arial" w:cs="Arial"/>
          <w:b/>
          <w:bCs/>
          <w:sz w:val="20"/>
          <w:szCs w:val="20"/>
        </w:rPr>
        <w:t xml:space="preserve"> </w:t>
      </w:r>
      <w:r w:rsidR="00163044" w:rsidRPr="004564D3">
        <w:rPr>
          <w:rFonts w:ascii="Arial" w:hAnsi="Arial" w:cs="Arial"/>
          <w:b/>
          <w:bCs/>
          <w:sz w:val="20"/>
          <w:szCs w:val="20"/>
        </w:rPr>
        <w:t>pagos</w:t>
      </w:r>
    </w:p>
    <w:p w:rsidR="00E2761E" w:rsidRPr="004564D3" w:rsidRDefault="00E2761E" w:rsidP="004564D3">
      <w:pPr>
        <w:pStyle w:val="Prrafodelista"/>
        <w:spacing w:before="18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>Consciente de la situación que vive el sector agrario</w:t>
      </w:r>
      <w:r w:rsidR="00406072" w:rsidRPr="004564D3">
        <w:rPr>
          <w:rFonts w:ascii="Arial" w:hAnsi="Arial" w:cs="Arial"/>
          <w:sz w:val="20"/>
          <w:szCs w:val="20"/>
        </w:rPr>
        <w:t xml:space="preserve"> como consecuencia de </w:t>
      </w:r>
      <w:r w:rsidRPr="004564D3">
        <w:rPr>
          <w:rFonts w:ascii="Arial" w:hAnsi="Arial" w:cs="Arial"/>
          <w:sz w:val="20"/>
          <w:szCs w:val="20"/>
        </w:rPr>
        <w:t>la elevada s</w:t>
      </w:r>
      <w:r w:rsidR="00406072" w:rsidRPr="004564D3">
        <w:rPr>
          <w:rFonts w:ascii="Arial" w:hAnsi="Arial" w:cs="Arial"/>
          <w:sz w:val="20"/>
          <w:szCs w:val="20"/>
        </w:rPr>
        <w:t>iniestralidad en el campo debida</w:t>
      </w:r>
      <w:r w:rsidRPr="004564D3">
        <w:rPr>
          <w:rFonts w:ascii="Arial" w:hAnsi="Arial" w:cs="Arial"/>
          <w:sz w:val="20"/>
          <w:szCs w:val="20"/>
        </w:rPr>
        <w:t xml:space="preserve"> a sequía, heladas </w:t>
      </w:r>
      <w:r w:rsidR="00163044" w:rsidRPr="004564D3">
        <w:rPr>
          <w:rFonts w:ascii="Arial" w:hAnsi="Arial" w:cs="Arial"/>
          <w:sz w:val="20"/>
          <w:szCs w:val="20"/>
        </w:rPr>
        <w:t>y</w:t>
      </w:r>
      <w:r w:rsidRPr="004564D3">
        <w:rPr>
          <w:rFonts w:ascii="Arial" w:hAnsi="Arial" w:cs="Arial"/>
          <w:sz w:val="20"/>
          <w:szCs w:val="20"/>
        </w:rPr>
        <w:t xml:space="preserve"> pedrisco</w:t>
      </w:r>
      <w:r w:rsidR="00163044" w:rsidRPr="004564D3">
        <w:rPr>
          <w:rFonts w:ascii="Arial" w:hAnsi="Arial" w:cs="Arial"/>
          <w:sz w:val="20"/>
          <w:szCs w:val="20"/>
        </w:rPr>
        <w:t>s</w:t>
      </w:r>
      <w:r w:rsidRPr="004564D3">
        <w:rPr>
          <w:rFonts w:ascii="Arial" w:hAnsi="Arial" w:cs="Arial"/>
          <w:sz w:val="20"/>
          <w:szCs w:val="20"/>
        </w:rPr>
        <w:t xml:space="preserve">, </w:t>
      </w:r>
      <w:r w:rsidR="00406072" w:rsidRPr="004564D3">
        <w:rPr>
          <w:rFonts w:ascii="Arial" w:hAnsi="Arial" w:cs="Arial"/>
          <w:sz w:val="20"/>
          <w:szCs w:val="20"/>
        </w:rPr>
        <w:t>AGROSEGURO</w:t>
      </w:r>
      <w:r w:rsidRPr="004564D3">
        <w:rPr>
          <w:rFonts w:ascii="Arial" w:hAnsi="Arial" w:cs="Arial"/>
          <w:sz w:val="20"/>
          <w:szCs w:val="20"/>
        </w:rPr>
        <w:t xml:space="preserve"> </w:t>
      </w:r>
      <w:r w:rsidR="00927237" w:rsidRPr="004564D3">
        <w:rPr>
          <w:rFonts w:ascii="Arial" w:hAnsi="Arial" w:cs="Arial"/>
          <w:sz w:val="20"/>
          <w:szCs w:val="20"/>
        </w:rPr>
        <w:t>ha agilizado todos sus procesos para</w:t>
      </w:r>
      <w:r w:rsidRPr="004564D3">
        <w:rPr>
          <w:rFonts w:ascii="Arial" w:hAnsi="Arial" w:cs="Arial"/>
          <w:sz w:val="20"/>
          <w:szCs w:val="20"/>
        </w:rPr>
        <w:t xml:space="preserve"> adelantar el pago de las indemnizaciones. De este modo, la liquidación de las indemnizaciones </w:t>
      </w:r>
      <w:r w:rsidR="00927237" w:rsidRPr="004564D3">
        <w:rPr>
          <w:rFonts w:ascii="Arial" w:hAnsi="Arial" w:cs="Arial"/>
          <w:sz w:val="20"/>
          <w:szCs w:val="20"/>
        </w:rPr>
        <w:t xml:space="preserve">se </w:t>
      </w:r>
      <w:r w:rsidR="00406072" w:rsidRPr="004564D3">
        <w:rPr>
          <w:rFonts w:ascii="Arial" w:hAnsi="Arial" w:cs="Arial"/>
          <w:sz w:val="20"/>
          <w:szCs w:val="20"/>
        </w:rPr>
        <w:t>irá</w:t>
      </w:r>
      <w:r w:rsidR="00927237" w:rsidRPr="004564D3">
        <w:rPr>
          <w:rFonts w:ascii="Arial" w:hAnsi="Arial" w:cs="Arial"/>
          <w:sz w:val="20"/>
          <w:szCs w:val="20"/>
        </w:rPr>
        <w:t xml:space="preserve"> realizando semanalmente y </w:t>
      </w:r>
      <w:r w:rsidR="002D3A2D" w:rsidRPr="004564D3">
        <w:rPr>
          <w:rFonts w:ascii="Arial" w:hAnsi="Arial" w:cs="Arial"/>
          <w:sz w:val="20"/>
          <w:szCs w:val="20"/>
        </w:rPr>
        <w:t>finalizar</w:t>
      </w:r>
      <w:r w:rsidRPr="004564D3">
        <w:rPr>
          <w:rFonts w:ascii="Arial" w:hAnsi="Arial" w:cs="Arial"/>
          <w:sz w:val="20"/>
          <w:szCs w:val="20"/>
        </w:rPr>
        <w:t>á en agosto, una vez concluy</w:t>
      </w:r>
      <w:r w:rsidR="00927237" w:rsidRPr="004564D3">
        <w:rPr>
          <w:rFonts w:ascii="Arial" w:hAnsi="Arial" w:cs="Arial"/>
          <w:sz w:val="20"/>
          <w:szCs w:val="20"/>
        </w:rPr>
        <w:t>a</w:t>
      </w:r>
      <w:r w:rsidRPr="004564D3">
        <w:rPr>
          <w:rFonts w:ascii="Arial" w:hAnsi="Arial" w:cs="Arial"/>
          <w:sz w:val="20"/>
          <w:szCs w:val="20"/>
        </w:rPr>
        <w:t xml:space="preserve"> la recolección y las tasaciones. </w:t>
      </w:r>
    </w:p>
    <w:p w:rsidR="00CD4253" w:rsidRPr="004564D3" w:rsidRDefault="00406072" w:rsidP="004564D3">
      <w:pPr>
        <w:pStyle w:val="Prrafodelista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 xml:space="preserve">Las tasaciones, </w:t>
      </w:r>
      <w:r w:rsidR="00E2761E" w:rsidRPr="004564D3">
        <w:rPr>
          <w:rFonts w:ascii="Arial" w:hAnsi="Arial" w:cs="Arial"/>
          <w:sz w:val="20"/>
          <w:szCs w:val="20"/>
        </w:rPr>
        <w:t>realizadas por un total de 330 pe</w:t>
      </w:r>
      <w:r w:rsidRPr="004564D3">
        <w:rPr>
          <w:rFonts w:ascii="Arial" w:hAnsi="Arial" w:cs="Arial"/>
          <w:sz w:val="20"/>
          <w:szCs w:val="20"/>
        </w:rPr>
        <w:t>ritos de AGROSEGURO,</w:t>
      </w:r>
      <w:r w:rsidR="00E2761E" w:rsidRPr="004564D3">
        <w:rPr>
          <w:rFonts w:ascii="Arial" w:hAnsi="Arial" w:cs="Arial"/>
          <w:sz w:val="20"/>
          <w:szCs w:val="20"/>
        </w:rPr>
        <w:t xml:space="preserve"> se desarrollan a un ritmo elevado</w:t>
      </w:r>
      <w:r w:rsidR="00927237" w:rsidRPr="004564D3">
        <w:rPr>
          <w:rFonts w:ascii="Arial" w:hAnsi="Arial" w:cs="Arial"/>
          <w:sz w:val="20"/>
          <w:szCs w:val="20"/>
        </w:rPr>
        <w:t>,</w:t>
      </w:r>
      <w:r w:rsidR="00E2761E" w:rsidRPr="004564D3">
        <w:rPr>
          <w:rFonts w:ascii="Arial" w:hAnsi="Arial" w:cs="Arial"/>
          <w:sz w:val="20"/>
          <w:szCs w:val="20"/>
        </w:rPr>
        <w:t xml:space="preserve"> </w:t>
      </w:r>
      <w:r w:rsidRPr="004564D3">
        <w:rPr>
          <w:rFonts w:ascii="Arial" w:hAnsi="Arial" w:cs="Arial"/>
          <w:sz w:val="20"/>
          <w:szCs w:val="20"/>
        </w:rPr>
        <w:t xml:space="preserve">y </w:t>
      </w:r>
      <w:r w:rsidR="00927237" w:rsidRPr="004564D3">
        <w:rPr>
          <w:rFonts w:ascii="Arial" w:hAnsi="Arial" w:cs="Arial"/>
          <w:sz w:val="20"/>
          <w:szCs w:val="20"/>
        </w:rPr>
        <w:t xml:space="preserve">actualmente </w:t>
      </w:r>
      <w:r w:rsidRPr="004564D3">
        <w:rPr>
          <w:rFonts w:ascii="Arial" w:hAnsi="Arial" w:cs="Arial"/>
          <w:sz w:val="20"/>
          <w:szCs w:val="20"/>
        </w:rPr>
        <w:t xml:space="preserve">se ha concluido </w:t>
      </w:r>
      <w:r w:rsidR="00927237" w:rsidRPr="004564D3">
        <w:rPr>
          <w:rFonts w:ascii="Arial" w:hAnsi="Arial" w:cs="Arial"/>
          <w:sz w:val="20"/>
          <w:szCs w:val="20"/>
        </w:rPr>
        <w:t>prácticamente el 90% de la superficie siniestrada,</w:t>
      </w:r>
      <w:r w:rsidR="00E2761E" w:rsidRPr="004564D3">
        <w:rPr>
          <w:rFonts w:ascii="Arial" w:hAnsi="Arial" w:cs="Arial"/>
          <w:sz w:val="20"/>
          <w:szCs w:val="20"/>
        </w:rPr>
        <w:t xml:space="preserve"> </w:t>
      </w:r>
      <w:r w:rsidRPr="004564D3">
        <w:rPr>
          <w:rFonts w:ascii="Arial" w:hAnsi="Arial" w:cs="Arial"/>
          <w:sz w:val="20"/>
          <w:szCs w:val="20"/>
        </w:rPr>
        <w:t xml:space="preserve">con un adelanto de </w:t>
      </w:r>
      <w:r w:rsidR="00E2761E" w:rsidRPr="004564D3">
        <w:rPr>
          <w:rFonts w:ascii="Arial" w:hAnsi="Arial" w:cs="Arial"/>
          <w:sz w:val="20"/>
          <w:szCs w:val="20"/>
        </w:rPr>
        <w:t>15 días</w:t>
      </w:r>
      <w:r w:rsidRPr="004564D3">
        <w:rPr>
          <w:rFonts w:ascii="Arial" w:hAnsi="Arial" w:cs="Arial"/>
          <w:sz w:val="20"/>
          <w:szCs w:val="20"/>
        </w:rPr>
        <w:t xml:space="preserve"> sobre los plazos habituales</w:t>
      </w:r>
      <w:r w:rsidR="00E2761E" w:rsidRPr="004564D3">
        <w:rPr>
          <w:rFonts w:ascii="Arial" w:hAnsi="Arial" w:cs="Arial"/>
          <w:sz w:val="20"/>
          <w:szCs w:val="20"/>
        </w:rPr>
        <w:t xml:space="preserve">. </w:t>
      </w:r>
    </w:p>
    <w:p w:rsidR="00E2761E" w:rsidRPr="004564D3" w:rsidRDefault="00E2761E" w:rsidP="004564D3">
      <w:pPr>
        <w:spacing w:before="3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64D3">
        <w:rPr>
          <w:rFonts w:ascii="Arial" w:hAnsi="Arial" w:cs="Arial"/>
          <w:b/>
          <w:bCs/>
          <w:sz w:val="20"/>
          <w:szCs w:val="20"/>
        </w:rPr>
        <w:t xml:space="preserve">Superficie siniestrada </w:t>
      </w:r>
    </w:p>
    <w:p w:rsidR="00E2761E" w:rsidRPr="004564D3" w:rsidRDefault="00BE3372" w:rsidP="004564D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>Si bien se siguen recibiendo declaraciones de siniestro</w:t>
      </w:r>
      <w:r w:rsidR="00406072" w:rsidRPr="004564D3">
        <w:rPr>
          <w:rFonts w:ascii="Arial" w:hAnsi="Arial" w:cs="Arial"/>
          <w:sz w:val="20"/>
          <w:szCs w:val="20"/>
        </w:rPr>
        <w:t xml:space="preserve"> (</w:t>
      </w:r>
      <w:r w:rsidRPr="004564D3">
        <w:rPr>
          <w:rFonts w:ascii="Arial" w:hAnsi="Arial" w:cs="Arial"/>
          <w:sz w:val="20"/>
          <w:szCs w:val="20"/>
        </w:rPr>
        <w:t>alrededor de 10.000 hectáreas diarias</w:t>
      </w:r>
      <w:r w:rsidR="00406072" w:rsidRPr="004564D3">
        <w:rPr>
          <w:rFonts w:ascii="Arial" w:hAnsi="Arial" w:cs="Arial"/>
          <w:sz w:val="20"/>
          <w:szCs w:val="20"/>
        </w:rPr>
        <w:t>)</w:t>
      </w:r>
      <w:r w:rsidRPr="004564D3">
        <w:rPr>
          <w:rFonts w:ascii="Arial" w:hAnsi="Arial" w:cs="Arial"/>
          <w:sz w:val="20"/>
          <w:szCs w:val="20"/>
        </w:rPr>
        <w:t>, l</w:t>
      </w:r>
      <w:r w:rsidR="00E2761E" w:rsidRPr="004564D3">
        <w:rPr>
          <w:rFonts w:ascii="Arial" w:hAnsi="Arial" w:cs="Arial"/>
          <w:sz w:val="20"/>
          <w:szCs w:val="20"/>
        </w:rPr>
        <w:t xml:space="preserve">a superficie total siniestrada de cereales de invierno y leguminosas ha superado ya a la registrada en 2012 </w:t>
      </w:r>
      <w:r w:rsidR="00F86C4A" w:rsidRPr="004564D3">
        <w:rPr>
          <w:rFonts w:ascii="Arial" w:hAnsi="Arial" w:cs="Arial"/>
          <w:sz w:val="20"/>
          <w:szCs w:val="20"/>
        </w:rPr>
        <w:t>–</w:t>
      </w:r>
      <w:r w:rsidR="00E2761E" w:rsidRPr="004564D3">
        <w:rPr>
          <w:rFonts w:ascii="Arial" w:hAnsi="Arial" w:cs="Arial"/>
          <w:sz w:val="20"/>
          <w:szCs w:val="20"/>
        </w:rPr>
        <w:t>el peor</w:t>
      </w:r>
      <w:r w:rsidR="00F86C4A" w:rsidRPr="004564D3">
        <w:rPr>
          <w:rFonts w:ascii="Arial" w:hAnsi="Arial" w:cs="Arial"/>
          <w:sz w:val="20"/>
          <w:szCs w:val="20"/>
        </w:rPr>
        <w:t>,</w:t>
      </w:r>
      <w:r w:rsidR="00E2761E" w:rsidRPr="004564D3">
        <w:rPr>
          <w:rFonts w:ascii="Arial" w:hAnsi="Arial" w:cs="Arial"/>
          <w:sz w:val="20"/>
          <w:szCs w:val="20"/>
        </w:rPr>
        <w:t xml:space="preserve"> hasta ahora</w:t>
      </w:r>
      <w:r w:rsidR="00F86C4A" w:rsidRPr="004564D3">
        <w:rPr>
          <w:rFonts w:ascii="Arial" w:hAnsi="Arial" w:cs="Arial"/>
          <w:sz w:val="20"/>
          <w:szCs w:val="20"/>
        </w:rPr>
        <w:t>,</w:t>
      </w:r>
      <w:r w:rsidR="00E2761E" w:rsidRPr="004564D3">
        <w:rPr>
          <w:rFonts w:ascii="Arial" w:hAnsi="Arial" w:cs="Arial"/>
          <w:sz w:val="20"/>
          <w:szCs w:val="20"/>
        </w:rPr>
        <w:t xml:space="preserve"> de la historia del seguro en España</w:t>
      </w:r>
      <w:r w:rsidR="00F86C4A" w:rsidRPr="004564D3">
        <w:rPr>
          <w:rFonts w:ascii="Arial" w:hAnsi="Arial" w:cs="Arial"/>
          <w:sz w:val="20"/>
          <w:szCs w:val="20"/>
        </w:rPr>
        <w:t>–</w:t>
      </w:r>
      <w:r w:rsidR="00E2761E" w:rsidRPr="004564D3">
        <w:rPr>
          <w:rFonts w:ascii="Arial" w:hAnsi="Arial" w:cs="Arial"/>
          <w:sz w:val="20"/>
          <w:szCs w:val="20"/>
        </w:rPr>
        <w:t>, alcanzando 1.3</w:t>
      </w:r>
      <w:r w:rsidRPr="004564D3">
        <w:rPr>
          <w:rFonts w:ascii="Arial" w:hAnsi="Arial" w:cs="Arial"/>
          <w:sz w:val="20"/>
          <w:szCs w:val="20"/>
        </w:rPr>
        <w:t>96</w:t>
      </w:r>
      <w:r w:rsidR="00E2761E" w:rsidRPr="004564D3">
        <w:rPr>
          <w:rFonts w:ascii="Arial" w:hAnsi="Arial" w:cs="Arial"/>
          <w:sz w:val="20"/>
          <w:szCs w:val="20"/>
        </w:rPr>
        <w:t>.000 hectáreas, de las que 1.</w:t>
      </w:r>
      <w:r w:rsidRPr="004564D3">
        <w:rPr>
          <w:rFonts w:ascii="Arial" w:hAnsi="Arial" w:cs="Arial"/>
          <w:sz w:val="20"/>
          <w:szCs w:val="20"/>
        </w:rPr>
        <w:t>225</w:t>
      </w:r>
      <w:r w:rsidR="00E2761E" w:rsidRPr="004564D3">
        <w:rPr>
          <w:rFonts w:ascii="Arial" w:hAnsi="Arial" w:cs="Arial"/>
          <w:sz w:val="20"/>
          <w:szCs w:val="20"/>
        </w:rPr>
        <w:t xml:space="preserve">.000 corresponden a siniestros de sequía y helada. </w:t>
      </w:r>
    </w:p>
    <w:p w:rsidR="00E2761E" w:rsidRPr="004564D3" w:rsidRDefault="00E2761E" w:rsidP="004564D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 xml:space="preserve">Castilla y León es la comunidad autónoma más afectada, con el 57% de la superficie siniestrada (casi </w:t>
      </w:r>
      <w:r w:rsidR="00BE3372" w:rsidRPr="004564D3">
        <w:rPr>
          <w:rFonts w:ascii="Arial" w:hAnsi="Arial" w:cs="Arial"/>
          <w:sz w:val="20"/>
          <w:szCs w:val="20"/>
        </w:rPr>
        <w:t>8</w:t>
      </w:r>
      <w:r w:rsidRPr="004564D3">
        <w:rPr>
          <w:rFonts w:ascii="Arial" w:hAnsi="Arial" w:cs="Arial"/>
          <w:sz w:val="20"/>
          <w:szCs w:val="20"/>
        </w:rPr>
        <w:t>0</w:t>
      </w:r>
      <w:r w:rsidR="00BE3372" w:rsidRPr="004564D3">
        <w:rPr>
          <w:rFonts w:ascii="Arial" w:hAnsi="Arial" w:cs="Arial"/>
          <w:sz w:val="20"/>
          <w:szCs w:val="20"/>
        </w:rPr>
        <w:t>2</w:t>
      </w:r>
      <w:r w:rsidRPr="004564D3">
        <w:rPr>
          <w:rFonts w:ascii="Arial" w:hAnsi="Arial" w:cs="Arial"/>
          <w:sz w:val="20"/>
          <w:szCs w:val="20"/>
        </w:rPr>
        <w:t xml:space="preserve">.000 hectáreas hasta la fecha), con provincias como Ávila, Valladolid y Palencia en las que se ha reclamado más del 80% de la superficie contratada. </w:t>
      </w:r>
    </w:p>
    <w:p w:rsidR="00E2761E" w:rsidRPr="004564D3" w:rsidRDefault="00E2761E" w:rsidP="004564D3">
      <w:pPr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lastRenderedPageBreak/>
        <w:t>Castilla-La Mancha acumula el 2</w:t>
      </w:r>
      <w:r w:rsidR="00BE3372" w:rsidRPr="004564D3">
        <w:rPr>
          <w:rFonts w:ascii="Arial" w:hAnsi="Arial" w:cs="Arial"/>
          <w:sz w:val="20"/>
          <w:szCs w:val="20"/>
        </w:rPr>
        <w:t>2</w:t>
      </w:r>
      <w:r w:rsidRPr="004564D3">
        <w:rPr>
          <w:rFonts w:ascii="Arial" w:hAnsi="Arial" w:cs="Arial"/>
          <w:sz w:val="20"/>
          <w:szCs w:val="20"/>
        </w:rPr>
        <w:t>% de la superficie siniestrada (más de 3</w:t>
      </w:r>
      <w:r w:rsidR="00BE3372" w:rsidRPr="004564D3">
        <w:rPr>
          <w:rFonts w:ascii="Arial" w:hAnsi="Arial" w:cs="Arial"/>
          <w:sz w:val="20"/>
          <w:szCs w:val="20"/>
        </w:rPr>
        <w:t>11</w:t>
      </w:r>
      <w:r w:rsidRPr="004564D3">
        <w:rPr>
          <w:rFonts w:ascii="Arial" w:hAnsi="Arial" w:cs="Arial"/>
          <w:sz w:val="20"/>
          <w:szCs w:val="20"/>
        </w:rPr>
        <w:t>.000 hectáreas)</w:t>
      </w:r>
      <w:r w:rsidR="00F86C4A" w:rsidRPr="004564D3">
        <w:rPr>
          <w:rFonts w:ascii="Arial" w:hAnsi="Arial" w:cs="Arial"/>
          <w:sz w:val="20"/>
          <w:szCs w:val="20"/>
        </w:rPr>
        <w:t>,</w:t>
      </w:r>
      <w:r w:rsidRPr="004564D3">
        <w:rPr>
          <w:rFonts w:ascii="Arial" w:hAnsi="Arial" w:cs="Arial"/>
          <w:sz w:val="20"/>
          <w:szCs w:val="20"/>
        </w:rPr>
        <w:t xml:space="preserve"> y Aragón cerca del 10% (12</w:t>
      </w:r>
      <w:r w:rsidR="00BE3372" w:rsidRPr="004564D3">
        <w:rPr>
          <w:rFonts w:ascii="Arial" w:hAnsi="Arial" w:cs="Arial"/>
          <w:sz w:val="20"/>
          <w:szCs w:val="20"/>
        </w:rPr>
        <w:t>7</w:t>
      </w:r>
      <w:r w:rsidRPr="004564D3">
        <w:rPr>
          <w:rFonts w:ascii="Arial" w:hAnsi="Arial" w:cs="Arial"/>
          <w:sz w:val="20"/>
          <w:szCs w:val="20"/>
        </w:rPr>
        <w:t>.000 hectáreas). Asimismo, se han registrado daños en otras muchas comunidades españolas, como es e</w:t>
      </w:r>
      <w:r w:rsidR="00F86C4A" w:rsidRPr="004564D3">
        <w:rPr>
          <w:rFonts w:ascii="Arial" w:hAnsi="Arial" w:cs="Arial"/>
          <w:sz w:val="20"/>
          <w:szCs w:val="20"/>
        </w:rPr>
        <w:t>l caso de Andalucía, Cataluña, </w:t>
      </w:r>
      <w:r w:rsidRPr="004564D3">
        <w:rPr>
          <w:rFonts w:ascii="Arial" w:hAnsi="Arial" w:cs="Arial"/>
          <w:sz w:val="20"/>
          <w:szCs w:val="20"/>
        </w:rPr>
        <w:t>Extremadura, La Rioja y Navarra.</w:t>
      </w:r>
    </w:p>
    <w:tbl>
      <w:tblPr>
        <w:tblW w:w="92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961"/>
        <w:gridCol w:w="1916"/>
      </w:tblGrid>
      <w:tr w:rsidR="00406072" w:rsidRPr="004564D3" w:rsidTr="007A73F8">
        <w:trPr>
          <w:trHeight w:val="541"/>
        </w:trPr>
        <w:tc>
          <w:tcPr>
            <w:tcW w:w="2835" w:type="dxa"/>
            <w:shd w:val="clear" w:color="000000" w:fill="FFFF99"/>
            <w:noWrap/>
            <w:vAlign w:val="center"/>
            <w:hideMark/>
          </w:tcPr>
          <w:p w:rsidR="00406072" w:rsidRPr="004564D3" w:rsidRDefault="004060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COMUNIDAD AUTÓNOMA</w:t>
            </w:r>
          </w:p>
        </w:tc>
        <w:tc>
          <w:tcPr>
            <w:tcW w:w="2552" w:type="dxa"/>
            <w:shd w:val="clear" w:color="000000" w:fill="FFFF99"/>
            <w:noWrap/>
            <w:vAlign w:val="center"/>
            <w:hideMark/>
          </w:tcPr>
          <w:p w:rsidR="00406072" w:rsidRPr="004564D3" w:rsidRDefault="004060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SUPERFICIE SINIESTRADA</w:t>
            </w:r>
          </w:p>
          <w:p w:rsidR="00406072" w:rsidRPr="004564D3" w:rsidRDefault="004060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(HECTÁREAS)</w:t>
            </w:r>
          </w:p>
        </w:tc>
        <w:tc>
          <w:tcPr>
            <w:tcW w:w="1961" w:type="dxa"/>
            <w:shd w:val="clear" w:color="000000" w:fill="FFFF99"/>
            <w:noWrap/>
            <w:vAlign w:val="center"/>
            <w:hideMark/>
          </w:tcPr>
          <w:p w:rsidR="00406072" w:rsidRPr="004564D3" w:rsidRDefault="004060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SUPERFICIE TASADA</w:t>
            </w:r>
          </w:p>
          <w:p w:rsidR="00406072" w:rsidRPr="004564D3" w:rsidRDefault="004060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(HECTÁREAS)</w:t>
            </w:r>
          </w:p>
        </w:tc>
        <w:tc>
          <w:tcPr>
            <w:tcW w:w="1916" w:type="dxa"/>
            <w:shd w:val="clear" w:color="000000" w:fill="FFFF99"/>
            <w:noWrap/>
            <w:vAlign w:val="center"/>
            <w:hideMark/>
          </w:tcPr>
          <w:p w:rsidR="00406072" w:rsidRPr="004564D3" w:rsidRDefault="004060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% SUP. TASADA/</w:t>
            </w:r>
          </w:p>
          <w:p w:rsidR="00406072" w:rsidRPr="004564D3" w:rsidRDefault="004060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SUP. SINIESTRADA</w:t>
            </w:r>
          </w:p>
        </w:tc>
      </w:tr>
      <w:tr w:rsidR="00631EE5" w:rsidRPr="004564D3" w:rsidTr="007A73F8">
        <w:trPr>
          <w:trHeight w:val="30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CASTILLA Y LEÓN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802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001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674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4,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631EE5" w:rsidRPr="004564D3" w:rsidTr="007A73F8">
        <w:trPr>
          <w:trHeight w:val="30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CASTILLA</w:t>
            </w:r>
            <w:r w:rsidR="004060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MANCHA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.6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329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,5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631EE5" w:rsidRPr="004564D3" w:rsidTr="007A73F8">
        <w:trPr>
          <w:trHeight w:val="30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ARAGÓN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486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9,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631EE5" w:rsidRPr="004564D3" w:rsidTr="007A73F8">
        <w:trPr>
          <w:trHeight w:val="30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1EE5" w:rsidRPr="004564D3" w:rsidRDefault="007A73F8" w:rsidP="00456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RESTO</w:t>
            </w:r>
            <w:r w:rsidR="00631EE5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COMUNIDADES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="00BE3372"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Pr="0045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5%</w:t>
            </w:r>
          </w:p>
        </w:tc>
      </w:tr>
      <w:tr w:rsidR="00631EE5" w:rsidRPr="004564D3" w:rsidTr="007A73F8">
        <w:trPr>
          <w:trHeight w:val="300"/>
        </w:trPr>
        <w:tc>
          <w:tcPr>
            <w:tcW w:w="2835" w:type="dxa"/>
            <w:shd w:val="clear" w:color="auto" w:fill="9CC2E5" w:themeFill="accent1" w:themeFillTint="99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552" w:type="dxa"/>
            <w:shd w:val="clear" w:color="auto" w:fill="9CC2E5" w:themeFill="accent1" w:themeFillTint="99"/>
            <w:noWrap/>
            <w:vAlign w:val="center"/>
            <w:hideMark/>
          </w:tcPr>
          <w:p w:rsidR="00631EE5" w:rsidRPr="004564D3" w:rsidRDefault="00631EE5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1.39</w:t>
            </w:r>
            <w:r w:rsidR="00BE3372"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="00BE3372"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BE3372"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61" w:type="dxa"/>
            <w:shd w:val="clear" w:color="auto" w:fill="9CC2E5" w:themeFill="accent1" w:themeFillTint="99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1.225</w:t>
            </w:r>
            <w:r w:rsidR="00631EE5"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93</w:t>
            </w:r>
            <w:r w:rsidR="00631EE5"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6" w:type="dxa"/>
            <w:shd w:val="clear" w:color="auto" w:fill="9CC2E5" w:themeFill="accent1" w:themeFillTint="99"/>
            <w:noWrap/>
            <w:vAlign w:val="center"/>
            <w:hideMark/>
          </w:tcPr>
          <w:p w:rsidR="00631EE5" w:rsidRPr="004564D3" w:rsidRDefault="00BE3372" w:rsidP="0045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631EE5"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7,</w:t>
            </w:r>
            <w:r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631EE5" w:rsidRPr="0045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9%</w:t>
            </w:r>
          </w:p>
        </w:tc>
      </w:tr>
    </w:tbl>
    <w:p w:rsidR="00DB423D" w:rsidRPr="004564D3" w:rsidRDefault="00B17F23" w:rsidP="004564D3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>C</w:t>
      </w:r>
      <w:r w:rsidR="0073597F" w:rsidRPr="004564D3">
        <w:rPr>
          <w:rFonts w:ascii="Arial" w:hAnsi="Arial" w:cs="Arial"/>
          <w:sz w:val="20"/>
          <w:szCs w:val="20"/>
        </w:rPr>
        <w:t>on el discurrir de la campaña de tasación de cereales se ha hecho patente que las expectativas que se tenían de cosecha han empeorado</w:t>
      </w:r>
      <w:r w:rsidR="00F86C4A" w:rsidRPr="004564D3">
        <w:rPr>
          <w:rFonts w:ascii="Arial" w:hAnsi="Arial" w:cs="Arial"/>
          <w:sz w:val="20"/>
          <w:szCs w:val="20"/>
        </w:rPr>
        <w:t>, pues a la larga sequía</w:t>
      </w:r>
      <w:r w:rsidR="0073597F" w:rsidRPr="004564D3">
        <w:rPr>
          <w:rFonts w:ascii="Arial" w:hAnsi="Arial" w:cs="Arial"/>
          <w:sz w:val="20"/>
          <w:szCs w:val="20"/>
        </w:rPr>
        <w:t xml:space="preserve"> </w:t>
      </w:r>
      <w:r w:rsidR="009C314E" w:rsidRPr="004564D3">
        <w:rPr>
          <w:rFonts w:ascii="Arial" w:hAnsi="Arial" w:cs="Arial"/>
          <w:sz w:val="20"/>
          <w:szCs w:val="20"/>
        </w:rPr>
        <w:t xml:space="preserve">hay que añadir </w:t>
      </w:r>
      <w:r w:rsidR="0073597F" w:rsidRPr="004564D3">
        <w:rPr>
          <w:rFonts w:ascii="Arial" w:hAnsi="Arial" w:cs="Arial"/>
          <w:sz w:val="20"/>
          <w:szCs w:val="20"/>
        </w:rPr>
        <w:t xml:space="preserve">los episodios de altas temperaturas que se han registrado </w:t>
      </w:r>
      <w:r w:rsidR="009C314E" w:rsidRPr="004564D3">
        <w:rPr>
          <w:rFonts w:ascii="Arial" w:hAnsi="Arial" w:cs="Arial"/>
          <w:sz w:val="20"/>
          <w:szCs w:val="20"/>
        </w:rPr>
        <w:t xml:space="preserve">en junio </w:t>
      </w:r>
      <w:r w:rsidR="002D3A2D" w:rsidRPr="004564D3">
        <w:rPr>
          <w:rFonts w:ascii="Arial" w:hAnsi="Arial" w:cs="Arial"/>
          <w:sz w:val="20"/>
          <w:szCs w:val="20"/>
        </w:rPr>
        <w:t xml:space="preserve">en gran parte </w:t>
      </w:r>
      <w:r w:rsidR="0073597F" w:rsidRPr="004564D3">
        <w:rPr>
          <w:rFonts w:ascii="Arial" w:hAnsi="Arial" w:cs="Arial"/>
          <w:sz w:val="20"/>
          <w:szCs w:val="20"/>
        </w:rPr>
        <w:t>del país</w:t>
      </w:r>
      <w:r w:rsidR="00DB423D" w:rsidRPr="004564D3">
        <w:rPr>
          <w:rFonts w:ascii="Arial" w:hAnsi="Arial" w:cs="Arial"/>
          <w:sz w:val="20"/>
          <w:szCs w:val="20"/>
        </w:rPr>
        <w:t>.</w:t>
      </w:r>
      <w:r w:rsidR="0073597F" w:rsidRPr="004564D3">
        <w:rPr>
          <w:rFonts w:ascii="Arial" w:hAnsi="Arial" w:cs="Arial"/>
          <w:sz w:val="20"/>
          <w:szCs w:val="20"/>
        </w:rPr>
        <w:t xml:space="preserve"> </w:t>
      </w:r>
    </w:p>
    <w:p w:rsidR="00DB423D" w:rsidRPr="004564D3" w:rsidRDefault="00DB423D" w:rsidP="004564D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>C</w:t>
      </w:r>
      <w:r w:rsidR="0073597F" w:rsidRPr="004564D3">
        <w:rPr>
          <w:rFonts w:ascii="Arial" w:hAnsi="Arial" w:cs="Arial"/>
          <w:sz w:val="20"/>
          <w:szCs w:val="20"/>
        </w:rPr>
        <w:t>omo media nacional, el rendimiento que se está obteniendo en el c</w:t>
      </w:r>
      <w:r w:rsidR="00F86C4A" w:rsidRPr="004564D3">
        <w:rPr>
          <w:rFonts w:ascii="Arial" w:hAnsi="Arial" w:cs="Arial"/>
          <w:sz w:val="20"/>
          <w:szCs w:val="20"/>
        </w:rPr>
        <w:t>aso de explotaciones con sequía</w:t>
      </w:r>
      <w:r w:rsidR="0073597F" w:rsidRPr="004564D3">
        <w:rPr>
          <w:rFonts w:ascii="Arial" w:hAnsi="Arial" w:cs="Arial"/>
          <w:sz w:val="20"/>
          <w:szCs w:val="20"/>
        </w:rPr>
        <w:t xml:space="preserve"> es de 934,17 kg/ha,</w:t>
      </w:r>
      <w:r w:rsidR="009C314E" w:rsidRPr="004564D3">
        <w:rPr>
          <w:rFonts w:ascii="Arial" w:hAnsi="Arial" w:cs="Arial"/>
          <w:sz w:val="20"/>
          <w:szCs w:val="20"/>
        </w:rPr>
        <w:t xml:space="preserve"> </w:t>
      </w:r>
      <w:r w:rsidR="00937758" w:rsidRPr="004564D3">
        <w:rPr>
          <w:rFonts w:ascii="Arial" w:hAnsi="Arial" w:cs="Arial"/>
          <w:sz w:val="20"/>
          <w:szCs w:val="20"/>
        </w:rPr>
        <w:t xml:space="preserve">situándose </w:t>
      </w:r>
      <w:r w:rsidR="00385C9F" w:rsidRPr="004564D3">
        <w:rPr>
          <w:rFonts w:ascii="Arial" w:hAnsi="Arial" w:cs="Arial"/>
          <w:sz w:val="20"/>
          <w:szCs w:val="20"/>
        </w:rPr>
        <w:t xml:space="preserve">la </w:t>
      </w:r>
      <w:r w:rsidR="009C314E" w:rsidRPr="004564D3">
        <w:rPr>
          <w:rFonts w:ascii="Arial" w:hAnsi="Arial" w:cs="Arial"/>
          <w:sz w:val="20"/>
          <w:szCs w:val="20"/>
        </w:rPr>
        <w:t xml:space="preserve">media </w:t>
      </w:r>
      <w:r w:rsidR="00937758" w:rsidRPr="004564D3">
        <w:rPr>
          <w:rFonts w:ascii="Arial" w:hAnsi="Arial" w:cs="Arial"/>
          <w:sz w:val="20"/>
          <w:szCs w:val="20"/>
        </w:rPr>
        <w:t>en Castilla y León en 832</w:t>
      </w:r>
      <w:r w:rsidR="00937758" w:rsidRPr="004564D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37758" w:rsidRPr="004564D3">
        <w:rPr>
          <w:rFonts w:ascii="Arial" w:hAnsi="Arial" w:cs="Arial"/>
          <w:sz w:val="20"/>
          <w:szCs w:val="20"/>
        </w:rPr>
        <w:t xml:space="preserve">kg/ha </w:t>
      </w:r>
      <w:r w:rsidR="009C314E" w:rsidRPr="004564D3">
        <w:rPr>
          <w:rFonts w:ascii="Arial" w:hAnsi="Arial" w:cs="Arial"/>
          <w:sz w:val="20"/>
          <w:szCs w:val="20"/>
        </w:rPr>
        <w:t>(en el caso de Palencia</w:t>
      </w:r>
      <w:r w:rsidR="00F86C4A" w:rsidRPr="004564D3">
        <w:rPr>
          <w:rFonts w:ascii="Arial" w:hAnsi="Arial" w:cs="Arial"/>
          <w:sz w:val="20"/>
          <w:szCs w:val="20"/>
        </w:rPr>
        <w:t>, en</w:t>
      </w:r>
      <w:r w:rsidR="009C314E" w:rsidRPr="004564D3">
        <w:rPr>
          <w:rFonts w:ascii="Arial" w:hAnsi="Arial" w:cs="Arial"/>
          <w:sz w:val="20"/>
          <w:szCs w:val="20"/>
        </w:rPr>
        <w:t xml:space="preserve"> 739</w:t>
      </w:r>
      <w:r w:rsidR="00F86C4A" w:rsidRPr="004564D3">
        <w:rPr>
          <w:rFonts w:ascii="Arial" w:hAnsi="Arial" w:cs="Arial"/>
          <w:sz w:val="20"/>
          <w:szCs w:val="20"/>
        </w:rPr>
        <w:t xml:space="preserve"> </w:t>
      </w:r>
      <w:r w:rsidR="009C314E" w:rsidRPr="004564D3">
        <w:rPr>
          <w:rFonts w:ascii="Arial" w:hAnsi="Arial" w:cs="Arial"/>
          <w:sz w:val="20"/>
          <w:szCs w:val="20"/>
        </w:rPr>
        <w:t xml:space="preserve">kg/ha) </w:t>
      </w:r>
      <w:r w:rsidR="00937758" w:rsidRPr="004564D3">
        <w:rPr>
          <w:rFonts w:ascii="Arial" w:hAnsi="Arial" w:cs="Arial"/>
          <w:sz w:val="20"/>
          <w:szCs w:val="20"/>
        </w:rPr>
        <w:t xml:space="preserve">y en Castilla-La Mancha en 925 kg/ha, </w:t>
      </w:r>
      <w:r w:rsidR="0073597F" w:rsidRPr="004564D3">
        <w:rPr>
          <w:rFonts w:ascii="Arial" w:hAnsi="Arial" w:cs="Arial"/>
          <w:sz w:val="20"/>
          <w:szCs w:val="20"/>
        </w:rPr>
        <w:t>mientras que la media de lo asegurado para este mismo riesgo</w:t>
      </w:r>
      <w:r w:rsidR="00937758" w:rsidRPr="004564D3">
        <w:rPr>
          <w:rFonts w:ascii="Arial" w:hAnsi="Arial" w:cs="Arial"/>
          <w:sz w:val="20"/>
          <w:szCs w:val="20"/>
        </w:rPr>
        <w:t xml:space="preserve"> a nivel nacional</w:t>
      </w:r>
      <w:r w:rsidR="0073597F" w:rsidRPr="004564D3">
        <w:rPr>
          <w:rFonts w:ascii="Arial" w:hAnsi="Arial" w:cs="Arial"/>
          <w:sz w:val="20"/>
          <w:szCs w:val="20"/>
        </w:rPr>
        <w:t xml:space="preserve"> es de 2</w:t>
      </w:r>
      <w:r w:rsidR="00937758" w:rsidRPr="004564D3">
        <w:rPr>
          <w:rFonts w:ascii="Arial" w:hAnsi="Arial" w:cs="Arial"/>
          <w:sz w:val="20"/>
          <w:szCs w:val="20"/>
        </w:rPr>
        <w:t xml:space="preserve">.671 kg/ha. </w:t>
      </w:r>
    </w:p>
    <w:p w:rsidR="00E2761E" w:rsidRPr="004564D3" w:rsidRDefault="00E2761E" w:rsidP="004564D3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b/>
          <w:bCs/>
          <w:sz w:val="20"/>
          <w:szCs w:val="20"/>
        </w:rPr>
        <w:t>I</w:t>
      </w:r>
      <w:r w:rsidR="00B17F23" w:rsidRPr="004564D3">
        <w:rPr>
          <w:rFonts w:ascii="Arial" w:hAnsi="Arial" w:cs="Arial"/>
          <w:b/>
          <w:bCs/>
          <w:sz w:val="20"/>
          <w:szCs w:val="20"/>
        </w:rPr>
        <w:t>mportancia de</w:t>
      </w:r>
      <w:r w:rsidR="00D61578" w:rsidRPr="004564D3">
        <w:rPr>
          <w:rFonts w:ascii="Arial" w:hAnsi="Arial" w:cs="Arial"/>
          <w:b/>
          <w:bCs/>
          <w:sz w:val="20"/>
          <w:szCs w:val="20"/>
        </w:rPr>
        <w:t xml:space="preserve"> proteger las explotaciones con un seguro agrario</w:t>
      </w:r>
      <w:r w:rsidR="00B17F23" w:rsidRPr="004564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17F23" w:rsidRPr="004564D3" w:rsidRDefault="00D61578" w:rsidP="004564D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564D3">
        <w:rPr>
          <w:rFonts w:ascii="Arial" w:hAnsi="Arial" w:cs="Arial"/>
          <w:sz w:val="20"/>
          <w:szCs w:val="20"/>
        </w:rPr>
        <w:t>A</w:t>
      </w:r>
      <w:r w:rsidR="00B17F23" w:rsidRPr="004564D3">
        <w:rPr>
          <w:rFonts w:ascii="Arial" w:hAnsi="Arial" w:cs="Arial"/>
          <w:sz w:val="20"/>
          <w:szCs w:val="20"/>
        </w:rPr>
        <w:t xml:space="preserve">nte las extremas y muy variables condiciones climáticas que se están produciendo y los perjudiciales efectos que tienen en las cosechas, la solvencia que </w:t>
      </w:r>
      <w:r w:rsidR="00F86C4A" w:rsidRPr="004564D3">
        <w:rPr>
          <w:rFonts w:ascii="Arial" w:hAnsi="Arial" w:cs="Arial"/>
          <w:sz w:val="20"/>
          <w:szCs w:val="20"/>
        </w:rPr>
        <w:t>AGROSEGURO</w:t>
      </w:r>
      <w:r w:rsidR="00B17F23" w:rsidRPr="004564D3">
        <w:rPr>
          <w:rFonts w:ascii="Arial" w:hAnsi="Arial" w:cs="Arial"/>
          <w:sz w:val="20"/>
          <w:szCs w:val="20"/>
        </w:rPr>
        <w:t xml:space="preserve"> demuestra para hacer frente a estas situaciones pone de manifiesto la conveniencia </w:t>
      </w:r>
      <w:r w:rsidR="00F86C4A" w:rsidRPr="004564D3">
        <w:rPr>
          <w:rFonts w:ascii="Arial" w:hAnsi="Arial" w:cs="Arial"/>
          <w:sz w:val="20"/>
          <w:szCs w:val="20"/>
        </w:rPr>
        <w:t>para</w:t>
      </w:r>
      <w:r w:rsidR="00B17F23" w:rsidRPr="004564D3">
        <w:rPr>
          <w:rFonts w:ascii="Arial" w:hAnsi="Arial" w:cs="Arial"/>
          <w:sz w:val="20"/>
          <w:szCs w:val="20"/>
        </w:rPr>
        <w:t xml:space="preserve"> los agricultores </w:t>
      </w:r>
      <w:r w:rsidR="00F86C4A" w:rsidRPr="004564D3">
        <w:rPr>
          <w:rFonts w:ascii="Arial" w:hAnsi="Arial" w:cs="Arial"/>
          <w:sz w:val="20"/>
          <w:szCs w:val="20"/>
        </w:rPr>
        <w:t xml:space="preserve">de </w:t>
      </w:r>
      <w:r w:rsidR="00B17F23" w:rsidRPr="004564D3">
        <w:rPr>
          <w:rFonts w:ascii="Arial" w:hAnsi="Arial" w:cs="Arial"/>
          <w:sz w:val="20"/>
          <w:szCs w:val="20"/>
        </w:rPr>
        <w:t xml:space="preserve">proteger sus explotaciones con un Seguro Agrario. </w:t>
      </w:r>
    </w:p>
    <w:p w:rsidR="00385C9F" w:rsidRPr="004564D3" w:rsidRDefault="00385C9F" w:rsidP="004564D3">
      <w:pPr>
        <w:pStyle w:val="1CUSTO"/>
        <w:spacing w:before="120"/>
        <w:rPr>
          <w:sz w:val="20"/>
          <w:szCs w:val="20"/>
        </w:rPr>
      </w:pPr>
      <w:bookmarkStart w:id="0" w:name="_GoBack"/>
      <w:bookmarkEnd w:id="0"/>
    </w:p>
    <w:sectPr w:rsidR="00385C9F" w:rsidRPr="004564D3" w:rsidSect="00385C9F">
      <w:headerReference w:type="default" r:id="rId8"/>
      <w:pgSz w:w="11906" w:h="16838"/>
      <w:pgMar w:top="1701" w:right="1274" w:bottom="127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93" w:rsidRDefault="00CD7193" w:rsidP="00FD7CD7">
      <w:pPr>
        <w:spacing w:after="0" w:line="240" w:lineRule="auto"/>
      </w:pPr>
      <w:r>
        <w:separator/>
      </w:r>
    </w:p>
  </w:endnote>
  <w:endnote w:type="continuationSeparator" w:id="0">
    <w:p w:rsidR="00CD7193" w:rsidRDefault="00CD7193" w:rsidP="00FD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93" w:rsidRDefault="00CD7193" w:rsidP="00FD7CD7">
      <w:pPr>
        <w:spacing w:after="0" w:line="240" w:lineRule="auto"/>
      </w:pPr>
      <w:r>
        <w:separator/>
      </w:r>
    </w:p>
  </w:footnote>
  <w:footnote w:type="continuationSeparator" w:id="0">
    <w:p w:rsidR="00CD7193" w:rsidRDefault="00CD7193" w:rsidP="00FD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17" w:rsidRDefault="00847517" w:rsidP="00010DB4">
    <w:pPr>
      <w:pStyle w:val="Encabezado"/>
      <w:rPr>
        <w:rFonts w:ascii="Arial" w:hAnsi="Arial" w:cs="Arial"/>
        <w:b/>
        <w:bCs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8E993E4" wp14:editId="03DB44C9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1599565" cy="567055"/>
          <wp:effectExtent l="0" t="0" r="63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GROSEGU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7517" w:rsidRDefault="00847517" w:rsidP="00010DB4">
    <w:pPr>
      <w:pStyle w:val="Encabezado"/>
      <w:rPr>
        <w:rFonts w:ascii="Arial" w:hAnsi="Arial" w:cs="Arial"/>
        <w:b/>
        <w:bCs/>
      </w:rPr>
    </w:pPr>
  </w:p>
  <w:p w:rsidR="00847517" w:rsidRPr="003D114E" w:rsidRDefault="00847517" w:rsidP="00010DB4">
    <w:pPr>
      <w:pStyle w:val="Encabezado"/>
    </w:pPr>
    <w:r>
      <w:rPr>
        <w:rFonts w:ascii="Arial" w:hAnsi="Arial" w:cs="Arial"/>
        <w:b/>
        <w:bCs/>
      </w:rPr>
      <w:t>NOTA DE PRENSA</w:t>
    </w:r>
  </w:p>
  <w:p w:rsidR="00847517" w:rsidRDefault="00847517" w:rsidP="00FD7CD7">
    <w:pPr>
      <w:pStyle w:val="Encabezado"/>
      <w:tabs>
        <w:tab w:val="clear" w:pos="4252"/>
        <w:tab w:val="clear" w:pos="8504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17"/>
    <w:multiLevelType w:val="hybridMultilevel"/>
    <w:tmpl w:val="6B88CEE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D5695"/>
    <w:multiLevelType w:val="multilevel"/>
    <w:tmpl w:val="CAB636DA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00543F"/>
    <w:multiLevelType w:val="hybridMultilevel"/>
    <w:tmpl w:val="9DE84F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B281F"/>
    <w:multiLevelType w:val="hybridMultilevel"/>
    <w:tmpl w:val="0B02C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D7"/>
    <w:rsid w:val="000054CF"/>
    <w:rsid w:val="00010DB4"/>
    <w:rsid w:val="000220EB"/>
    <w:rsid w:val="00057268"/>
    <w:rsid w:val="000B5650"/>
    <w:rsid w:val="000D4E79"/>
    <w:rsid w:val="0011281D"/>
    <w:rsid w:val="0012746D"/>
    <w:rsid w:val="00163044"/>
    <w:rsid w:val="00184021"/>
    <w:rsid w:val="001A22B5"/>
    <w:rsid w:val="001A3E8B"/>
    <w:rsid w:val="001A4B11"/>
    <w:rsid w:val="001C4C10"/>
    <w:rsid w:val="001E5189"/>
    <w:rsid w:val="002571E0"/>
    <w:rsid w:val="00284136"/>
    <w:rsid w:val="00290408"/>
    <w:rsid w:val="00294D9F"/>
    <w:rsid w:val="002972AF"/>
    <w:rsid w:val="002C29FF"/>
    <w:rsid w:val="002C4C45"/>
    <w:rsid w:val="002D3A2D"/>
    <w:rsid w:val="003176FF"/>
    <w:rsid w:val="00376F49"/>
    <w:rsid w:val="00385C9F"/>
    <w:rsid w:val="003C0AB4"/>
    <w:rsid w:val="003D114E"/>
    <w:rsid w:val="00403D23"/>
    <w:rsid w:val="00406072"/>
    <w:rsid w:val="00414014"/>
    <w:rsid w:val="004213AB"/>
    <w:rsid w:val="00422710"/>
    <w:rsid w:val="00435E5E"/>
    <w:rsid w:val="004564D3"/>
    <w:rsid w:val="004B18CD"/>
    <w:rsid w:val="004B64B1"/>
    <w:rsid w:val="004F6B3D"/>
    <w:rsid w:val="005229E7"/>
    <w:rsid w:val="00522CB7"/>
    <w:rsid w:val="0058523B"/>
    <w:rsid w:val="0059120F"/>
    <w:rsid w:val="005D4960"/>
    <w:rsid w:val="005E6C56"/>
    <w:rsid w:val="005F4A1A"/>
    <w:rsid w:val="005F70DE"/>
    <w:rsid w:val="00631EE5"/>
    <w:rsid w:val="00714A25"/>
    <w:rsid w:val="0072669B"/>
    <w:rsid w:val="0073597F"/>
    <w:rsid w:val="00795EFC"/>
    <w:rsid w:val="007A1842"/>
    <w:rsid w:val="007A73F8"/>
    <w:rsid w:val="007B25EB"/>
    <w:rsid w:val="007D3211"/>
    <w:rsid w:val="00832052"/>
    <w:rsid w:val="00832596"/>
    <w:rsid w:val="00847517"/>
    <w:rsid w:val="00874F10"/>
    <w:rsid w:val="00893EF7"/>
    <w:rsid w:val="008E2F2D"/>
    <w:rsid w:val="00925BD8"/>
    <w:rsid w:val="00927237"/>
    <w:rsid w:val="00937758"/>
    <w:rsid w:val="00954441"/>
    <w:rsid w:val="00964FF0"/>
    <w:rsid w:val="00965F35"/>
    <w:rsid w:val="00973536"/>
    <w:rsid w:val="009C314E"/>
    <w:rsid w:val="009E4815"/>
    <w:rsid w:val="00A0459D"/>
    <w:rsid w:val="00A20661"/>
    <w:rsid w:val="00A47F4A"/>
    <w:rsid w:val="00A51587"/>
    <w:rsid w:val="00A95747"/>
    <w:rsid w:val="00AB2CE9"/>
    <w:rsid w:val="00AC7EC7"/>
    <w:rsid w:val="00AF6A19"/>
    <w:rsid w:val="00B06FD2"/>
    <w:rsid w:val="00B17F23"/>
    <w:rsid w:val="00B476C0"/>
    <w:rsid w:val="00B619AC"/>
    <w:rsid w:val="00B82C8E"/>
    <w:rsid w:val="00B82F47"/>
    <w:rsid w:val="00B8659F"/>
    <w:rsid w:val="00B95816"/>
    <w:rsid w:val="00BB6620"/>
    <w:rsid w:val="00BD4CAA"/>
    <w:rsid w:val="00BE3372"/>
    <w:rsid w:val="00BF3823"/>
    <w:rsid w:val="00C05A46"/>
    <w:rsid w:val="00C13039"/>
    <w:rsid w:val="00C37834"/>
    <w:rsid w:val="00C71DA6"/>
    <w:rsid w:val="00C805A8"/>
    <w:rsid w:val="00C93E24"/>
    <w:rsid w:val="00CA35E0"/>
    <w:rsid w:val="00CC5612"/>
    <w:rsid w:val="00CC77DA"/>
    <w:rsid w:val="00CD4253"/>
    <w:rsid w:val="00CD7193"/>
    <w:rsid w:val="00CE1EAA"/>
    <w:rsid w:val="00D61578"/>
    <w:rsid w:val="00D97B7F"/>
    <w:rsid w:val="00DB423D"/>
    <w:rsid w:val="00DD0A57"/>
    <w:rsid w:val="00DD6BB9"/>
    <w:rsid w:val="00DE570B"/>
    <w:rsid w:val="00DF7E8A"/>
    <w:rsid w:val="00E01343"/>
    <w:rsid w:val="00E2761E"/>
    <w:rsid w:val="00E329B9"/>
    <w:rsid w:val="00E42A1F"/>
    <w:rsid w:val="00E638D6"/>
    <w:rsid w:val="00E755FA"/>
    <w:rsid w:val="00E84D9A"/>
    <w:rsid w:val="00E9351D"/>
    <w:rsid w:val="00EB14A9"/>
    <w:rsid w:val="00EC6AF3"/>
    <w:rsid w:val="00F0065F"/>
    <w:rsid w:val="00F167A9"/>
    <w:rsid w:val="00F171FE"/>
    <w:rsid w:val="00F21769"/>
    <w:rsid w:val="00F86C4A"/>
    <w:rsid w:val="00FA4C85"/>
    <w:rsid w:val="00FB1DE4"/>
    <w:rsid w:val="00FD7CD7"/>
    <w:rsid w:val="00FF25B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CD7"/>
  </w:style>
  <w:style w:type="paragraph" w:styleId="Piedepgina">
    <w:name w:val="footer"/>
    <w:basedOn w:val="Normal"/>
    <w:link w:val="PiedepginaCar"/>
    <w:uiPriority w:val="99"/>
    <w:unhideWhenUsed/>
    <w:rsid w:val="00FD7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CD7"/>
  </w:style>
  <w:style w:type="paragraph" w:styleId="Prrafodelista">
    <w:name w:val="List Paragraph"/>
    <w:basedOn w:val="Normal"/>
    <w:uiPriority w:val="34"/>
    <w:qFormat/>
    <w:rsid w:val="00FD7CD7"/>
    <w:pPr>
      <w:ind w:left="720"/>
      <w:contextualSpacing/>
    </w:pPr>
  </w:style>
  <w:style w:type="character" w:styleId="Hipervnculo">
    <w:name w:val="Hyperlink"/>
    <w:uiPriority w:val="99"/>
    <w:unhideWhenUsed/>
    <w:rsid w:val="00010DB4"/>
    <w:rPr>
      <w:color w:val="205867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5A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A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A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A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A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A46"/>
    <w:rPr>
      <w:rFonts w:ascii="Segoe UI" w:hAnsi="Segoe UI" w:cs="Segoe UI"/>
      <w:sz w:val="18"/>
      <w:szCs w:val="18"/>
    </w:rPr>
  </w:style>
  <w:style w:type="paragraph" w:customStyle="1" w:styleId="1CUSTO">
    <w:name w:val="1.CUSTO"/>
    <w:basedOn w:val="Listaconnmeros"/>
    <w:autoRedefine/>
    <w:rsid w:val="00AB2CE9"/>
    <w:pPr>
      <w:numPr>
        <w:numId w:val="0"/>
      </w:numPr>
      <w:spacing w:after="0" w:line="240" w:lineRule="auto"/>
      <w:contextualSpacing w:val="0"/>
    </w:pPr>
    <w:rPr>
      <w:rFonts w:ascii="Arial" w:eastAsia="Times New Roman" w:hAnsi="Arial" w:cs="Arial"/>
      <w:b/>
      <w:lang w:val="es-ES_tradnl" w:eastAsia="es-ES"/>
    </w:rPr>
  </w:style>
  <w:style w:type="paragraph" w:styleId="Listaconnmeros">
    <w:name w:val="List Number"/>
    <w:basedOn w:val="Normal"/>
    <w:uiPriority w:val="99"/>
    <w:semiHidden/>
    <w:unhideWhenUsed/>
    <w:rsid w:val="00965F35"/>
    <w:pPr>
      <w:numPr>
        <w:numId w:val="3"/>
      </w:numPr>
      <w:contextualSpacing/>
    </w:pPr>
  </w:style>
  <w:style w:type="character" w:styleId="Textoennegrita">
    <w:name w:val="Strong"/>
    <w:basedOn w:val="Fuentedeprrafopredeter"/>
    <w:uiPriority w:val="22"/>
    <w:qFormat/>
    <w:rsid w:val="00954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CD7"/>
  </w:style>
  <w:style w:type="paragraph" w:styleId="Piedepgina">
    <w:name w:val="footer"/>
    <w:basedOn w:val="Normal"/>
    <w:link w:val="PiedepginaCar"/>
    <w:uiPriority w:val="99"/>
    <w:unhideWhenUsed/>
    <w:rsid w:val="00FD7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CD7"/>
  </w:style>
  <w:style w:type="paragraph" w:styleId="Prrafodelista">
    <w:name w:val="List Paragraph"/>
    <w:basedOn w:val="Normal"/>
    <w:uiPriority w:val="34"/>
    <w:qFormat/>
    <w:rsid w:val="00FD7CD7"/>
    <w:pPr>
      <w:ind w:left="720"/>
      <w:contextualSpacing/>
    </w:pPr>
  </w:style>
  <w:style w:type="character" w:styleId="Hipervnculo">
    <w:name w:val="Hyperlink"/>
    <w:uiPriority w:val="99"/>
    <w:unhideWhenUsed/>
    <w:rsid w:val="00010DB4"/>
    <w:rPr>
      <w:color w:val="205867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5A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A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A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A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A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A46"/>
    <w:rPr>
      <w:rFonts w:ascii="Segoe UI" w:hAnsi="Segoe UI" w:cs="Segoe UI"/>
      <w:sz w:val="18"/>
      <w:szCs w:val="18"/>
    </w:rPr>
  </w:style>
  <w:style w:type="paragraph" w:customStyle="1" w:styleId="1CUSTO">
    <w:name w:val="1.CUSTO"/>
    <w:basedOn w:val="Listaconnmeros"/>
    <w:autoRedefine/>
    <w:rsid w:val="00AB2CE9"/>
    <w:pPr>
      <w:numPr>
        <w:numId w:val="0"/>
      </w:numPr>
      <w:spacing w:after="0" w:line="240" w:lineRule="auto"/>
      <w:contextualSpacing w:val="0"/>
    </w:pPr>
    <w:rPr>
      <w:rFonts w:ascii="Arial" w:eastAsia="Times New Roman" w:hAnsi="Arial" w:cs="Arial"/>
      <w:b/>
      <w:lang w:val="es-ES_tradnl" w:eastAsia="es-ES"/>
    </w:rPr>
  </w:style>
  <w:style w:type="paragraph" w:styleId="Listaconnmeros">
    <w:name w:val="List Number"/>
    <w:basedOn w:val="Normal"/>
    <w:uiPriority w:val="99"/>
    <w:semiHidden/>
    <w:unhideWhenUsed/>
    <w:rsid w:val="00965F35"/>
    <w:pPr>
      <w:numPr>
        <w:numId w:val="3"/>
      </w:numPr>
      <w:contextualSpacing/>
    </w:pPr>
  </w:style>
  <w:style w:type="character" w:styleId="Textoennegrita">
    <w:name w:val="Strong"/>
    <w:basedOn w:val="Fuentedeprrafopredeter"/>
    <w:uiPriority w:val="22"/>
    <w:qFormat/>
    <w:rsid w:val="0095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Agroseguro, S.A.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Vera</dc:creator>
  <cp:lastModifiedBy>lola</cp:lastModifiedBy>
  <cp:revision>2</cp:revision>
  <cp:lastPrinted>2017-06-29T06:01:00Z</cp:lastPrinted>
  <dcterms:created xsi:type="dcterms:W3CDTF">2017-07-20T09:06:00Z</dcterms:created>
  <dcterms:modified xsi:type="dcterms:W3CDTF">2017-07-20T09:06:00Z</dcterms:modified>
</cp:coreProperties>
</file>